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17"/>
        <w:gridCol w:w="2098"/>
      </w:tblGrid>
      <w:tr w:rsidR="00F1447B" w:rsidRPr="00964BE6" w:rsidTr="00F1447B">
        <w:trPr>
          <w:tblCellSpacing w:w="0" w:type="dxa"/>
        </w:trPr>
        <w:tc>
          <w:tcPr>
            <w:tcW w:w="4250" w:type="pct"/>
            <w:vAlign w:val="center"/>
            <w:hideMark/>
          </w:tcPr>
          <w:p w:rsidR="00F1447B" w:rsidRPr="00964BE6" w:rsidRDefault="00F1447B" w:rsidP="00F1447B">
            <w:pPr>
              <w:pStyle w:val="1"/>
              <w:jc w:val="both"/>
              <w:rPr>
                <w:rFonts w:ascii="Times New Roman" w:hAnsi="Times New Roman" w:cs="Times New Roman"/>
                <w:color w:val="5D4B00"/>
                <w:lang w:val="kk-KZ"/>
              </w:rPr>
            </w:pPr>
            <w:r w:rsidRPr="00964BE6">
              <w:rPr>
                <w:rFonts w:ascii="Times New Roman" w:hAnsi="Times New Roman" w:cs="Times New Roman"/>
                <w:color w:val="5D4B00"/>
                <w:lang w:val="kk-KZ"/>
              </w:rPr>
              <w:t xml:space="preserve">Жер қойнауын мемлекеттік геологиялық зерттеуге жер қойнауын пайдалану құқықтарын жүзеге асырудың ерекшелiктерi </w:t>
            </w:r>
          </w:p>
        </w:tc>
        <w:tc>
          <w:tcPr>
            <w:tcW w:w="0" w:type="auto"/>
            <w:noWrap/>
            <w:vAlign w:val="center"/>
            <w:hideMark/>
          </w:tcPr>
          <w:p w:rsidR="00F1447B" w:rsidRPr="00964BE6" w:rsidRDefault="00F1447B">
            <w:pPr>
              <w:jc w:val="both"/>
              <w:rPr>
                <w:rFonts w:ascii="Times New Roman" w:hAnsi="Times New Roman" w:cs="Times New Roman"/>
                <w:color w:val="5D4B00"/>
                <w:sz w:val="28"/>
                <w:szCs w:val="28"/>
                <w:lang w:eastAsia="en-US"/>
              </w:rPr>
            </w:pP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29.03.2010, 18:04</w:t>
            </w:r>
          </w:p>
        </w:tc>
      </w:tr>
      <w:tr w:rsidR="00F1447B" w:rsidRPr="00964BE6" w:rsidTr="00F1447B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BD98E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F1447B" w:rsidRPr="00964BE6" w:rsidRDefault="00F1447B">
            <w:pPr>
              <w:jc w:val="both"/>
              <w:rPr>
                <w:rFonts w:ascii="Times New Roman" w:hAnsi="Times New Roman" w:cs="Times New Roman"/>
                <w:color w:val="5D4B00"/>
                <w:sz w:val="28"/>
                <w:szCs w:val="28"/>
                <w:lang w:eastAsia="en-US"/>
              </w:rPr>
            </w:pP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Жер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қойнауын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мемлекеттік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геологиялық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зерттеуге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жер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қойнауын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пайдалану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құқықтарын жүзеге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  <w:t xml:space="preserve">асырудың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ерекшел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i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ктерi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  <w:t xml:space="preserve">1.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Жер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қойнауын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мемлекеттік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геологиялық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зерттеудi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осы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З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аңның 13-бабының 3-тармағына сәйкес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жер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қойнауын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мемлекеттiк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геологиялық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зерттеуге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жер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қойнауын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пайдалану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құқығы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берілген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жеке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және заңды тұлғалар жүргiзе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алады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.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  <w:t xml:space="preserve">2.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Жер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қойнауын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мемлекеттік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геологиялық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зерттеуді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жүргiзу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кезiндегi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жұмыстар (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операциялар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) өңiрлiк және геологиялы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қ-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түсіру жұмыстарын, геологиялық, геофизикалық, геохимиялық, гидрогеологиялық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зерттеулер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жүргiзудi,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iздестiру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, iздестiру-бағалау,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iздестiру-барлау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және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барлау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жұмыстарын,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мемлекеттік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геологиялық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карталар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жасауды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,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жер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қойнауын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зерттеу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және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пайдалану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саласындағы қолданбалы ғылыми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зерттеулердi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, өздiгiнен ағып шығатын гидрогеологиялық және 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м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ұнай ұңғымаларын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жоюды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және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консервациялауды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қамтуы мүмкiн.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  <w:t xml:space="preserve">3.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Жер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қойнауын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мемлекеттiк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геологиялық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зерттеу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бюджет қаражаты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есебiнен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немесе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Қазақстан Республикасының заңнамасында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тыйым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салынбаған 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бас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қа да көздерден қаржыландырылуы мүмкін.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Ескерту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. 18-бап жаңа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редакцияда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- Қазақстан Республикасының 2005.10.14. N 79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З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аңымен.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  <w:t xml:space="preserve">19-бап.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Барлаумен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және (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немесе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) Өнд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i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румен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байланысты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емес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жерасты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құрылыстарын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салуды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және (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немесе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)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пайдалануды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, жүзеге асырудың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ерекшелiктерi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  <w:t xml:space="preserve">1. </w:t>
            </w:r>
            <w:proofErr w:type="spellStart"/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Барлаумен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және (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немесе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) өндiрумен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байланысты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емес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жерасты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құрылыстарын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салуды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және (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немесе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)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пайдалануды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жүзеге асырудың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ерекшелiктерiн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, сондай-ақ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барлаумен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және (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немесе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) өндiрумен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байланысты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емес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жерасты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құрылыстарын салуға және (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немесе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) пайдалануға арналған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жер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қойнауын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пайдалану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құқығын беру тәртiбiнiң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ерекшелiктерiн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Қазақстан Республикасының Үкiметi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белгiлейдi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.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  <w:t>2.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Барлаумен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және (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немесе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) өнд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i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румен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байланысты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емес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жерасты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құрылыстарын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салуды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және (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немесе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)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пайдалануды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жүргiзудiң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шарттары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мен тәртiбi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контрактiмен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айқындалады.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  <w:t xml:space="preserve">3.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Барлаумен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және (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немесе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) өндiрумен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байланысты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емес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жерасты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құрылыстарын салуға және (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немесе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) пайдалануға,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егер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Қазақстан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lastRenderedPageBreak/>
              <w:t>Республикасының заңдарында өзгеше көзделмесе, осы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З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аңның өндiруге қатысты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нормалары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қолданылады.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Ескерту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. 19-бап 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жа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ңа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редакцияда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- Қазақстан Республикасының 1999.08.11. N 467-I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З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аңымен.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  <w:t xml:space="preserve">20-бап. Минералдық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шик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i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затты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бастапқы өңдеу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  <w:t xml:space="preserve">1. Минералдық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шик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i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затты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бастапқы өңдеу өндiруден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кейiнгi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тiкелей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операция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болып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табылады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және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жер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қойнауын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пайдалану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жөнiндегi операцияларға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жатпайды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.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  <w:t xml:space="preserve">2. Минералдық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шикiзатты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бастапқы өңдеудi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лицензиялау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осы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З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аңның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ережелерiне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бағынбайды және Қазақстан Республикасының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лицензиялау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туралы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заңдарында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белгiленген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тәртiппен жүргiзiледi.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Ескерту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. 20-бап 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жа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ңа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редакцияда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- Қазақстан Республикасының 2004.12.01. N 2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З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аңымен (күшіне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ену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тәртібін 2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баптан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қараңыз). </w:t>
            </w:r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br/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Ескерту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. 4-тарау мен 21-41-баптар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алып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</w:t>
            </w:r>
            <w:proofErr w:type="spell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тасталды</w:t>
            </w:r>
            <w:proofErr w:type="spell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жә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не жа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ңа 4-1-тараумен толықтырылды - Қазақстан Республикасының 1999.08.11. N 467-I</w:t>
            </w:r>
            <w:proofErr w:type="gramStart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 xml:space="preserve"> З</w:t>
            </w:r>
            <w:proofErr w:type="gramEnd"/>
            <w:r w:rsidRPr="00964BE6">
              <w:rPr>
                <w:rFonts w:ascii="Times New Roman" w:hAnsi="Times New Roman" w:cs="Times New Roman"/>
                <w:color w:val="5D4B00"/>
                <w:sz w:val="28"/>
                <w:szCs w:val="28"/>
              </w:rPr>
              <w:t>аңымен.</w:t>
            </w:r>
          </w:p>
        </w:tc>
      </w:tr>
    </w:tbl>
    <w:p w:rsidR="001732AA" w:rsidRPr="00964BE6" w:rsidRDefault="001732AA" w:rsidP="00F1447B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sectPr w:rsidR="001732AA" w:rsidRPr="00964BE6" w:rsidSect="00995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F75D2"/>
    <w:multiLevelType w:val="multilevel"/>
    <w:tmpl w:val="7428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447B"/>
    <w:rsid w:val="001732AA"/>
    <w:rsid w:val="00964BE6"/>
    <w:rsid w:val="00995B16"/>
    <w:rsid w:val="00F1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16"/>
  </w:style>
  <w:style w:type="paragraph" w:styleId="1">
    <w:name w:val="heading 1"/>
    <w:basedOn w:val="a"/>
    <w:next w:val="a"/>
    <w:link w:val="10"/>
    <w:uiPriority w:val="9"/>
    <w:qFormat/>
    <w:rsid w:val="00F14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144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14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3">
    <w:name w:val="Hyperlink"/>
    <w:basedOn w:val="a0"/>
    <w:uiPriority w:val="99"/>
    <w:semiHidden/>
    <w:unhideWhenUsed/>
    <w:rsid w:val="00F1447B"/>
    <w:rPr>
      <w:color w:val="0E689A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</dc:creator>
  <cp:keywords/>
  <dc:description/>
  <cp:lastModifiedBy>Айнаш</cp:lastModifiedBy>
  <cp:revision>4</cp:revision>
  <dcterms:created xsi:type="dcterms:W3CDTF">2011-04-11T19:15:00Z</dcterms:created>
  <dcterms:modified xsi:type="dcterms:W3CDTF">2011-04-12T06:15:00Z</dcterms:modified>
</cp:coreProperties>
</file>